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869F" w14:textId="5EA256DB" w:rsidR="00071FB8" w:rsidRDefault="006F2A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EWHURST </w:t>
      </w:r>
      <w:r w:rsidR="00071FB8">
        <w:rPr>
          <w:b/>
          <w:bCs/>
          <w:sz w:val="28"/>
          <w:szCs w:val="28"/>
        </w:rPr>
        <w:t>PARISH COUNCIL:  Financial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8788"/>
      </w:tblGrid>
      <w:tr w:rsidR="00924F88" w14:paraId="4A7C9C38" w14:textId="77777777" w:rsidTr="00924F88">
        <w:tc>
          <w:tcPr>
            <w:tcW w:w="704" w:type="dxa"/>
          </w:tcPr>
          <w:p w14:paraId="651EA3F3" w14:textId="23F61335" w:rsidR="00924F88" w:rsidRPr="00924F88" w:rsidRDefault="00924F88" w:rsidP="00924F88">
            <w:pPr>
              <w:jc w:val="center"/>
              <w:rPr>
                <w:b/>
                <w:bCs/>
                <w:sz w:val="24"/>
                <w:szCs w:val="24"/>
              </w:rPr>
            </w:pPr>
            <w:r w:rsidRPr="00924F88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812" w:type="dxa"/>
          </w:tcPr>
          <w:p w14:paraId="638489A7" w14:textId="18531001" w:rsidR="00924F88" w:rsidRPr="00924F88" w:rsidRDefault="00924F88" w:rsidP="00924F88">
            <w:pPr>
              <w:jc w:val="center"/>
              <w:rPr>
                <w:b/>
                <w:bCs/>
                <w:sz w:val="24"/>
                <w:szCs w:val="24"/>
              </w:rPr>
            </w:pPr>
            <w:r w:rsidRPr="00924F88">
              <w:rPr>
                <w:b/>
                <w:bCs/>
                <w:sz w:val="24"/>
                <w:szCs w:val="24"/>
              </w:rPr>
              <w:t>Internal Control Tests</w:t>
            </w:r>
          </w:p>
        </w:tc>
        <w:tc>
          <w:tcPr>
            <w:tcW w:w="8788" w:type="dxa"/>
          </w:tcPr>
          <w:p w14:paraId="6EA1A67B" w14:textId="28C3E683" w:rsidR="00924F88" w:rsidRPr="00924F88" w:rsidRDefault="00924F88" w:rsidP="00924F88">
            <w:pPr>
              <w:jc w:val="center"/>
              <w:rPr>
                <w:b/>
                <w:bCs/>
                <w:sz w:val="24"/>
                <w:szCs w:val="24"/>
              </w:rPr>
            </w:pPr>
            <w:r w:rsidRPr="00924F88">
              <w:rPr>
                <w:b/>
                <w:bCs/>
                <w:sz w:val="24"/>
                <w:szCs w:val="24"/>
              </w:rPr>
              <w:t>Findings</w:t>
            </w:r>
          </w:p>
        </w:tc>
      </w:tr>
      <w:tr w:rsidR="00924F88" w14:paraId="2F675C6B" w14:textId="77777777" w:rsidTr="00924F88">
        <w:tc>
          <w:tcPr>
            <w:tcW w:w="704" w:type="dxa"/>
            <w:shd w:val="clear" w:color="auto" w:fill="D9E2F3" w:themeFill="accent1" w:themeFillTint="33"/>
          </w:tcPr>
          <w:p w14:paraId="2981DA99" w14:textId="10E2C5EE" w:rsidR="00924F88" w:rsidRDefault="00924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75ABF9A5" w14:textId="5AE8CE41" w:rsidR="00924F88" w:rsidRDefault="00924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 Book-keeping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61951584" w14:textId="77777777" w:rsidR="00924F88" w:rsidRDefault="00924F88">
            <w:pPr>
              <w:rPr>
                <w:sz w:val="24"/>
                <w:szCs w:val="24"/>
              </w:rPr>
            </w:pPr>
          </w:p>
        </w:tc>
      </w:tr>
      <w:tr w:rsidR="00924F88" w14:paraId="0BBC51B0" w14:textId="77777777" w:rsidTr="00924F88">
        <w:tc>
          <w:tcPr>
            <w:tcW w:w="704" w:type="dxa"/>
            <w:shd w:val="clear" w:color="auto" w:fill="FFFFFF" w:themeFill="background1"/>
          </w:tcPr>
          <w:p w14:paraId="6D27EFE4" w14:textId="4B1E0A37" w:rsidR="00924F88" w:rsidRDefault="00924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shd w:val="clear" w:color="auto" w:fill="FFFFFF" w:themeFill="background1"/>
          </w:tcPr>
          <w:p w14:paraId="302AEBAD" w14:textId="5A550143" w:rsidR="00924F88" w:rsidRDefault="00924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cashbook maintained and up to date?</w:t>
            </w:r>
          </w:p>
        </w:tc>
        <w:tc>
          <w:tcPr>
            <w:tcW w:w="8788" w:type="dxa"/>
            <w:shd w:val="clear" w:color="auto" w:fill="FFFFFF" w:themeFill="background1"/>
          </w:tcPr>
          <w:p w14:paraId="79A00A69" w14:textId="7A8E5C89" w:rsidR="00924F88" w:rsidRDefault="00924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Cashbook, run through </w:t>
            </w:r>
            <w:proofErr w:type="spellStart"/>
            <w:r>
              <w:rPr>
                <w:sz w:val="24"/>
                <w:szCs w:val="24"/>
              </w:rPr>
              <w:t>Rialtas</w:t>
            </w:r>
            <w:proofErr w:type="spellEnd"/>
            <w:r>
              <w:rPr>
                <w:sz w:val="24"/>
                <w:szCs w:val="24"/>
              </w:rPr>
              <w:t xml:space="preserve"> Business Systems, with full analysis </w:t>
            </w:r>
            <w:proofErr w:type="spellStart"/>
            <w:r>
              <w:rPr>
                <w:sz w:val="24"/>
                <w:szCs w:val="24"/>
              </w:rPr>
              <w:t>codings</w:t>
            </w:r>
            <w:proofErr w:type="spellEnd"/>
            <w:r>
              <w:rPr>
                <w:sz w:val="24"/>
                <w:szCs w:val="24"/>
              </w:rPr>
              <w:t xml:space="preserve"> for income and expenditure, is regularly maintained and up to date.</w:t>
            </w:r>
          </w:p>
        </w:tc>
      </w:tr>
      <w:tr w:rsidR="00924F88" w14:paraId="77CB3DBB" w14:textId="77777777" w:rsidTr="00924F88">
        <w:tc>
          <w:tcPr>
            <w:tcW w:w="704" w:type="dxa"/>
            <w:shd w:val="clear" w:color="auto" w:fill="FFFFFF" w:themeFill="background1"/>
          </w:tcPr>
          <w:p w14:paraId="7F9AF147" w14:textId="77C2DCC4" w:rsidR="00924F88" w:rsidRDefault="00924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shd w:val="clear" w:color="auto" w:fill="FFFFFF" w:themeFill="background1"/>
          </w:tcPr>
          <w:p w14:paraId="76272395" w14:textId="4370B59F" w:rsidR="00924F88" w:rsidRDefault="00924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cashbook arithmetic</w:t>
            </w:r>
            <w:r w:rsidR="00F9514D">
              <w:rPr>
                <w:sz w:val="24"/>
                <w:szCs w:val="24"/>
              </w:rPr>
              <w:t>ally correct</w:t>
            </w:r>
          </w:p>
        </w:tc>
        <w:tc>
          <w:tcPr>
            <w:tcW w:w="8788" w:type="dxa"/>
            <w:shd w:val="clear" w:color="auto" w:fill="FFFFFF" w:themeFill="background1"/>
          </w:tcPr>
          <w:p w14:paraId="568CEF75" w14:textId="33B1000F" w:rsidR="00924F88" w:rsidRDefault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</w:t>
            </w:r>
            <w:proofErr w:type="gramStart"/>
            <w:r>
              <w:rPr>
                <w:sz w:val="24"/>
                <w:szCs w:val="24"/>
              </w:rPr>
              <w:t>reconciliations  are</w:t>
            </w:r>
            <w:proofErr w:type="gramEnd"/>
            <w:r>
              <w:rPr>
                <w:sz w:val="24"/>
                <w:szCs w:val="24"/>
              </w:rPr>
              <w:t xml:space="preserve"> carried out each month and prove the correctness of the cashbook</w:t>
            </w:r>
          </w:p>
        </w:tc>
      </w:tr>
      <w:tr w:rsidR="00F9514D" w14:paraId="71BC5179" w14:textId="77777777" w:rsidTr="00924F88">
        <w:tc>
          <w:tcPr>
            <w:tcW w:w="704" w:type="dxa"/>
            <w:shd w:val="clear" w:color="auto" w:fill="FFFFFF" w:themeFill="background1"/>
          </w:tcPr>
          <w:p w14:paraId="49824129" w14:textId="4970E5CD" w:rsidR="00F9514D" w:rsidRDefault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shd w:val="clear" w:color="auto" w:fill="FFFFFF" w:themeFill="background1"/>
          </w:tcPr>
          <w:p w14:paraId="250AA973" w14:textId="2EAC8F99" w:rsidR="00F9514D" w:rsidRDefault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cashbook regularly balanced</w:t>
            </w:r>
          </w:p>
        </w:tc>
        <w:tc>
          <w:tcPr>
            <w:tcW w:w="8788" w:type="dxa"/>
            <w:shd w:val="clear" w:color="auto" w:fill="FFFFFF" w:themeFill="background1"/>
          </w:tcPr>
          <w:p w14:paraId="2513554E" w14:textId="148AE871" w:rsidR="00F9514D" w:rsidRDefault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cashbook is reconciled to each bank account monthly and </w:t>
            </w:r>
            <w:proofErr w:type="spellStart"/>
            <w:r>
              <w:rPr>
                <w:sz w:val="24"/>
                <w:szCs w:val="24"/>
              </w:rPr>
              <w:t>minuted</w:t>
            </w:r>
            <w:proofErr w:type="spellEnd"/>
            <w:r>
              <w:rPr>
                <w:sz w:val="24"/>
                <w:szCs w:val="24"/>
              </w:rPr>
              <w:t xml:space="preserve"> at Parish Council meetings.  Spend against budget is reviewed at each meeting.</w:t>
            </w:r>
          </w:p>
        </w:tc>
      </w:tr>
      <w:tr w:rsidR="00F9514D" w14:paraId="00851718" w14:textId="77777777" w:rsidTr="00F9514D">
        <w:tc>
          <w:tcPr>
            <w:tcW w:w="704" w:type="dxa"/>
            <w:shd w:val="clear" w:color="auto" w:fill="D9E2F3" w:themeFill="accent1" w:themeFillTint="33"/>
          </w:tcPr>
          <w:p w14:paraId="44A65D4A" w14:textId="341D28BE" w:rsidR="00F9514D" w:rsidRDefault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241D">
              <w:rPr>
                <w:sz w:val="24"/>
                <w:szCs w:val="24"/>
              </w:rPr>
              <w:t>a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3D55A9FD" w14:textId="3417A4BF" w:rsidR="00F9514D" w:rsidRDefault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Standing Orders and Financial Regulations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1A671B0A" w14:textId="77777777" w:rsidR="00F9514D" w:rsidRDefault="00F9514D">
            <w:pPr>
              <w:rPr>
                <w:sz w:val="24"/>
                <w:szCs w:val="24"/>
              </w:rPr>
            </w:pPr>
          </w:p>
        </w:tc>
      </w:tr>
      <w:tr w:rsidR="00F9514D" w14:paraId="6CEE62E0" w14:textId="77777777" w:rsidTr="00924F88">
        <w:tc>
          <w:tcPr>
            <w:tcW w:w="704" w:type="dxa"/>
            <w:shd w:val="clear" w:color="auto" w:fill="FFFFFF" w:themeFill="background1"/>
          </w:tcPr>
          <w:p w14:paraId="1CFF51B3" w14:textId="64BC4EBD" w:rsidR="00F9514D" w:rsidRDefault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812" w:type="dxa"/>
            <w:shd w:val="clear" w:color="auto" w:fill="FFFFFF" w:themeFill="background1"/>
          </w:tcPr>
          <w:p w14:paraId="09EDF5C1" w14:textId="7E2D7FC2" w:rsidR="00F9514D" w:rsidRDefault="00E22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the Council formally adopted Standing Orders and Financial Regulations, and </w:t>
            </w:r>
            <w:proofErr w:type="spellStart"/>
            <w:r>
              <w:rPr>
                <w:sz w:val="24"/>
                <w:szCs w:val="24"/>
              </w:rPr>
              <w:t>minuted</w:t>
            </w:r>
            <w:proofErr w:type="spellEnd"/>
            <w:r>
              <w:rPr>
                <w:sz w:val="24"/>
                <w:szCs w:val="24"/>
              </w:rPr>
              <w:t xml:space="preserve"> the dates approved</w:t>
            </w:r>
          </w:p>
        </w:tc>
        <w:tc>
          <w:tcPr>
            <w:tcW w:w="8788" w:type="dxa"/>
            <w:shd w:val="clear" w:color="auto" w:fill="FFFFFF" w:themeFill="background1"/>
          </w:tcPr>
          <w:p w14:paraId="08F9A9A9" w14:textId="2EFAC625" w:rsidR="00E2241D" w:rsidRDefault="00E22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Standing Orders and Financial Regulations are reviewed, updated if necessary, and approved at the Council’s Annual Meeting in May of each year.</w:t>
            </w:r>
          </w:p>
        </w:tc>
      </w:tr>
      <w:tr w:rsidR="00E2241D" w14:paraId="456D04A9" w14:textId="77777777" w:rsidTr="00924F88">
        <w:tc>
          <w:tcPr>
            <w:tcW w:w="704" w:type="dxa"/>
            <w:shd w:val="clear" w:color="auto" w:fill="FFFFFF" w:themeFill="background1"/>
          </w:tcPr>
          <w:p w14:paraId="16C6E440" w14:textId="08CF189B" w:rsidR="00E2241D" w:rsidRDefault="00E22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812" w:type="dxa"/>
            <w:shd w:val="clear" w:color="auto" w:fill="FFFFFF" w:themeFill="background1"/>
          </w:tcPr>
          <w:p w14:paraId="672F34D4" w14:textId="52D4F345" w:rsidR="00E2241D" w:rsidRDefault="00E22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an RFO been appointed with specific duties noted in both contract and Financial Regulations</w:t>
            </w:r>
          </w:p>
        </w:tc>
        <w:tc>
          <w:tcPr>
            <w:tcW w:w="8788" w:type="dxa"/>
            <w:shd w:val="clear" w:color="auto" w:fill="FFFFFF" w:themeFill="background1"/>
          </w:tcPr>
          <w:p w14:paraId="190A9118" w14:textId="61A716AB" w:rsidR="00E2241D" w:rsidRDefault="00E22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an RFO has been appointed, with specific duties recorded in contract and in Financial Regulations.</w:t>
            </w:r>
          </w:p>
        </w:tc>
      </w:tr>
      <w:tr w:rsidR="00E2241D" w14:paraId="74B3EC16" w14:textId="77777777" w:rsidTr="00924F88">
        <w:tc>
          <w:tcPr>
            <w:tcW w:w="704" w:type="dxa"/>
            <w:shd w:val="clear" w:color="auto" w:fill="FFFFFF" w:themeFill="background1"/>
          </w:tcPr>
          <w:p w14:paraId="3FF8C43C" w14:textId="1C142320" w:rsidR="00E2241D" w:rsidRDefault="00E22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812" w:type="dxa"/>
            <w:shd w:val="clear" w:color="auto" w:fill="FFFFFF" w:themeFill="background1"/>
          </w:tcPr>
          <w:p w14:paraId="458D0C29" w14:textId="3C275106" w:rsidR="00E2241D" w:rsidRDefault="00E22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items of services above the de minimum amount been competitively purchased</w:t>
            </w:r>
          </w:p>
        </w:tc>
        <w:tc>
          <w:tcPr>
            <w:tcW w:w="8788" w:type="dxa"/>
            <w:shd w:val="clear" w:color="auto" w:fill="FFFFFF" w:themeFill="background1"/>
          </w:tcPr>
          <w:p w14:paraId="4F185CFB" w14:textId="684F3C9F" w:rsidR="00E2241D" w:rsidRDefault="00E22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Larger contracts are subject to normal tendering arrangeme</w:t>
            </w:r>
            <w:r w:rsidR="007F545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ts.</w:t>
            </w:r>
          </w:p>
        </w:tc>
      </w:tr>
      <w:tr w:rsidR="00E2241D" w14:paraId="56F946C7" w14:textId="77777777" w:rsidTr="007F545D">
        <w:tc>
          <w:tcPr>
            <w:tcW w:w="704" w:type="dxa"/>
            <w:shd w:val="clear" w:color="auto" w:fill="D9E2F3" w:themeFill="accent1" w:themeFillTint="33"/>
          </w:tcPr>
          <w:p w14:paraId="45A399C0" w14:textId="65F9D43F" w:rsidR="00E2241D" w:rsidRDefault="00E22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304E39D6" w14:textId="62C263EE" w:rsidR="00E2241D" w:rsidRDefault="007F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controls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440D8D79" w14:textId="77777777" w:rsidR="00E2241D" w:rsidRDefault="00E2241D">
            <w:pPr>
              <w:rPr>
                <w:sz w:val="24"/>
                <w:szCs w:val="24"/>
              </w:rPr>
            </w:pPr>
          </w:p>
        </w:tc>
      </w:tr>
      <w:tr w:rsidR="007F545D" w14:paraId="3D8FB05B" w14:textId="77777777" w:rsidTr="00924F88">
        <w:tc>
          <w:tcPr>
            <w:tcW w:w="704" w:type="dxa"/>
            <w:shd w:val="clear" w:color="auto" w:fill="FFFFFF" w:themeFill="background1"/>
          </w:tcPr>
          <w:p w14:paraId="73B7881F" w14:textId="464D528C" w:rsidR="007F545D" w:rsidRDefault="007F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812" w:type="dxa"/>
            <w:shd w:val="clear" w:color="auto" w:fill="FFFFFF" w:themeFill="background1"/>
          </w:tcPr>
          <w:p w14:paraId="62EDF8C8" w14:textId="428AE0BD" w:rsidR="007F545D" w:rsidRDefault="007F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payments supported by invoices, authorised and </w:t>
            </w:r>
            <w:proofErr w:type="spellStart"/>
            <w:r>
              <w:rPr>
                <w:sz w:val="24"/>
                <w:szCs w:val="24"/>
              </w:rPr>
              <w:t>minuted</w:t>
            </w:r>
            <w:proofErr w:type="spellEnd"/>
          </w:p>
        </w:tc>
        <w:tc>
          <w:tcPr>
            <w:tcW w:w="8788" w:type="dxa"/>
            <w:shd w:val="clear" w:color="auto" w:fill="FFFFFF" w:themeFill="background1"/>
          </w:tcPr>
          <w:p w14:paraId="5E6E03AB" w14:textId="63DE60CE" w:rsidR="007F545D" w:rsidRDefault="007F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expenditure is supported by vouchers, which are checked for accuracy by the RFO.  All payments are authorised </w:t>
            </w:r>
            <w:r w:rsidR="00226594">
              <w:rPr>
                <w:sz w:val="24"/>
                <w:szCs w:val="24"/>
              </w:rPr>
              <w:t>by the Chairman, Vice Chairman and Finance Committee member and presented to Council each month for ratification</w:t>
            </w:r>
            <w:r>
              <w:rPr>
                <w:sz w:val="24"/>
                <w:szCs w:val="24"/>
              </w:rPr>
              <w:t>.  Electronic payments are input by the Clerk and RFO.</w:t>
            </w:r>
          </w:p>
        </w:tc>
      </w:tr>
      <w:tr w:rsidR="007F545D" w14:paraId="54F5C55F" w14:textId="77777777" w:rsidTr="00924F88">
        <w:tc>
          <w:tcPr>
            <w:tcW w:w="704" w:type="dxa"/>
            <w:shd w:val="clear" w:color="auto" w:fill="FFFFFF" w:themeFill="background1"/>
          </w:tcPr>
          <w:p w14:paraId="33ABF4B9" w14:textId="75328D0B" w:rsidR="007F545D" w:rsidRDefault="007F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812" w:type="dxa"/>
            <w:shd w:val="clear" w:color="auto" w:fill="FFFFFF" w:themeFill="background1"/>
          </w:tcPr>
          <w:p w14:paraId="66D8359F" w14:textId="0AFEA55E" w:rsidR="007F545D" w:rsidRDefault="007F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VAT payments been identified, recorded and reclaimed</w:t>
            </w:r>
          </w:p>
        </w:tc>
        <w:tc>
          <w:tcPr>
            <w:tcW w:w="8788" w:type="dxa"/>
            <w:shd w:val="clear" w:color="auto" w:fill="FFFFFF" w:themeFill="background1"/>
          </w:tcPr>
          <w:p w14:paraId="0F8DFB7E" w14:textId="4F14F5D0" w:rsidR="007F545D" w:rsidRDefault="007F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vouchers are retained and VAT reclaimed on a quarterly basis, using the HMRC online facility.</w:t>
            </w:r>
          </w:p>
        </w:tc>
      </w:tr>
      <w:tr w:rsidR="007F545D" w14:paraId="487DE908" w14:textId="77777777" w:rsidTr="00924F88">
        <w:tc>
          <w:tcPr>
            <w:tcW w:w="704" w:type="dxa"/>
            <w:shd w:val="clear" w:color="auto" w:fill="FFFFFF" w:themeFill="background1"/>
          </w:tcPr>
          <w:p w14:paraId="1B073AC4" w14:textId="5ECAF173" w:rsidR="007F545D" w:rsidRDefault="007F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812" w:type="dxa"/>
            <w:shd w:val="clear" w:color="auto" w:fill="FFFFFF" w:themeFill="background1"/>
          </w:tcPr>
          <w:p w14:paraId="7F6636CF" w14:textId="6678C7E7" w:rsidR="007F545D" w:rsidRPr="007F545D" w:rsidRDefault="007F545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Is S106 expenditure separately recorded and within statutory limits</w:t>
            </w:r>
          </w:p>
        </w:tc>
        <w:tc>
          <w:tcPr>
            <w:tcW w:w="8788" w:type="dxa"/>
            <w:shd w:val="clear" w:color="auto" w:fill="FFFFFF" w:themeFill="background1"/>
          </w:tcPr>
          <w:p w14:paraId="0F519997" w14:textId="328367F7" w:rsidR="007F545D" w:rsidRDefault="007F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S106 payments are coded separately in the cashbook.</w:t>
            </w:r>
          </w:p>
        </w:tc>
      </w:tr>
      <w:tr w:rsidR="007F545D" w14:paraId="7F6D25D5" w14:textId="77777777" w:rsidTr="007F545D">
        <w:tc>
          <w:tcPr>
            <w:tcW w:w="704" w:type="dxa"/>
            <w:shd w:val="clear" w:color="auto" w:fill="D9E2F3" w:themeFill="accent1" w:themeFillTint="33"/>
          </w:tcPr>
          <w:p w14:paraId="729D516F" w14:textId="5E6E3380" w:rsidR="007F545D" w:rsidRDefault="007F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184A0EC8" w14:textId="778C777A" w:rsidR="007F545D" w:rsidRDefault="007F545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Risk Management arrangements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6C25C115" w14:textId="77777777" w:rsidR="007F545D" w:rsidRDefault="007F545D">
            <w:pPr>
              <w:rPr>
                <w:sz w:val="24"/>
                <w:szCs w:val="24"/>
              </w:rPr>
            </w:pPr>
          </w:p>
        </w:tc>
      </w:tr>
      <w:tr w:rsidR="007F545D" w14:paraId="6C7732C0" w14:textId="77777777" w:rsidTr="00924F88">
        <w:tc>
          <w:tcPr>
            <w:tcW w:w="704" w:type="dxa"/>
            <w:shd w:val="clear" w:color="auto" w:fill="FFFFFF" w:themeFill="background1"/>
          </w:tcPr>
          <w:p w14:paraId="3B8C112B" w14:textId="15026271" w:rsidR="007F545D" w:rsidRDefault="007F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812" w:type="dxa"/>
            <w:shd w:val="clear" w:color="auto" w:fill="FFFFFF" w:themeFill="background1"/>
          </w:tcPr>
          <w:p w14:paraId="077B6F66" w14:textId="7CBEDF69" w:rsidR="007F545D" w:rsidRDefault="0012460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Internal auditor scans minutes to identify any unusual financial, project or event activity</w:t>
            </w:r>
          </w:p>
        </w:tc>
        <w:tc>
          <w:tcPr>
            <w:tcW w:w="8788" w:type="dxa"/>
            <w:shd w:val="clear" w:color="auto" w:fill="FFFFFF" w:themeFill="background1"/>
          </w:tcPr>
          <w:p w14:paraId="256D4830" w14:textId="0FCD92A8" w:rsidR="007F545D" w:rsidRDefault="0012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unusual activity, whether financial or otherwise, is documented and described in Parish Council minutes and is available to the internal auditor</w:t>
            </w:r>
          </w:p>
        </w:tc>
      </w:tr>
      <w:tr w:rsidR="00124602" w14:paraId="0B5DCB15" w14:textId="77777777" w:rsidTr="00924F88">
        <w:tc>
          <w:tcPr>
            <w:tcW w:w="704" w:type="dxa"/>
            <w:shd w:val="clear" w:color="auto" w:fill="FFFFFF" w:themeFill="background1"/>
          </w:tcPr>
          <w:p w14:paraId="22948B12" w14:textId="32700E45" w:rsidR="00124602" w:rsidRDefault="0012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812" w:type="dxa"/>
            <w:shd w:val="clear" w:color="auto" w:fill="FFFFFF" w:themeFill="background1"/>
          </w:tcPr>
          <w:p w14:paraId="37A8089B" w14:textId="178AD665" w:rsidR="00124602" w:rsidRDefault="0012460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Do the minutes record annual risk assessments</w:t>
            </w:r>
          </w:p>
        </w:tc>
        <w:tc>
          <w:tcPr>
            <w:tcW w:w="8788" w:type="dxa"/>
            <w:shd w:val="clear" w:color="auto" w:fill="FFFFFF" w:themeFill="background1"/>
          </w:tcPr>
          <w:p w14:paraId="445EFEB2" w14:textId="2AA0FC95" w:rsidR="00124602" w:rsidRDefault="0012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assessments are carried out on a regular basis and recorded.  Annual playground risk assessments are conducted by the Play Inspection Company Ltd and are recorded.</w:t>
            </w:r>
          </w:p>
        </w:tc>
      </w:tr>
      <w:tr w:rsidR="00124602" w14:paraId="02BC70F0" w14:textId="77777777" w:rsidTr="00924F88">
        <w:tc>
          <w:tcPr>
            <w:tcW w:w="704" w:type="dxa"/>
            <w:shd w:val="clear" w:color="auto" w:fill="FFFFFF" w:themeFill="background1"/>
          </w:tcPr>
          <w:p w14:paraId="34F96B1F" w14:textId="318F26CB" w:rsidR="00124602" w:rsidRDefault="0012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812" w:type="dxa"/>
            <w:shd w:val="clear" w:color="auto" w:fill="FFFFFF" w:themeFill="background1"/>
          </w:tcPr>
          <w:p w14:paraId="5F8F65DB" w14:textId="1D4C3F6B" w:rsidR="00124602" w:rsidRDefault="0012460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Is Insurance </w:t>
            </w:r>
            <w:proofErr w:type="gramStart"/>
            <w:r>
              <w:rPr>
                <w:iCs/>
                <w:sz w:val="24"/>
                <w:szCs w:val="24"/>
              </w:rPr>
              <w:t>cover  appropriate</w:t>
            </w:r>
            <w:proofErr w:type="gramEnd"/>
            <w:r>
              <w:rPr>
                <w:iCs/>
                <w:sz w:val="24"/>
                <w:szCs w:val="24"/>
              </w:rPr>
              <w:t xml:space="preserve"> and adequate</w:t>
            </w:r>
          </w:p>
        </w:tc>
        <w:tc>
          <w:tcPr>
            <w:tcW w:w="8788" w:type="dxa"/>
            <w:shd w:val="clear" w:color="auto" w:fill="FFFFFF" w:themeFill="background1"/>
          </w:tcPr>
          <w:p w14:paraId="1B435FBC" w14:textId="75E50C24" w:rsidR="00124602" w:rsidRDefault="0012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Insurance cover is held with </w:t>
            </w:r>
            <w:r w:rsidR="00226594">
              <w:rPr>
                <w:sz w:val="24"/>
                <w:szCs w:val="24"/>
              </w:rPr>
              <w:t>Ecclesiastical</w:t>
            </w:r>
            <w:r>
              <w:rPr>
                <w:sz w:val="24"/>
                <w:szCs w:val="24"/>
              </w:rPr>
              <w:t xml:space="preserve"> and is reviewed on an annual basis.  Cover is appropriate to the size of the Council.</w:t>
            </w:r>
          </w:p>
        </w:tc>
      </w:tr>
      <w:tr w:rsidR="00124602" w14:paraId="5AEFFE7B" w14:textId="77777777" w:rsidTr="00924F88">
        <w:tc>
          <w:tcPr>
            <w:tcW w:w="704" w:type="dxa"/>
            <w:shd w:val="clear" w:color="auto" w:fill="FFFFFF" w:themeFill="background1"/>
          </w:tcPr>
          <w:p w14:paraId="610B24BA" w14:textId="1492EED5" w:rsidR="00124602" w:rsidRDefault="0012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812" w:type="dxa"/>
            <w:shd w:val="clear" w:color="auto" w:fill="FFFFFF" w:themeFill="background1"/>
          </w:tcPr>
          <w:p w14:paraId="038CE28B" w14:textId="0C102DED" w:rsidR="00124602" w:rsidRDefault="0012460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Are internal financial controls documented and reviewed</w:t>
            </w:r>
          </w:p>
        </w:tc>
        <w:tc>
          <w:tcPr>
            <w:tcW w:w="8788" w:type="dxa"/>
            <w:shd w:val="clear" w:color="auto" w:fill="FFFFFF" w:themeFill="background1"/>
          </w:tcPr>
          <w:p w14:paraId="495FE586" w14:textId="77777777" w:rsidR="00124602" w:rsidRDefault="0012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are reviewed on an annual basis</w:t>
            </w:r>
          </w:p>
          <w:p w14:paraId="4EDBA259" w14:textId="6F0FBA03" w:rsidR="00226594" w:rsidRDefault="00226594">
            <w:pPr>
              <w:rPr>
                <w:sz w:val="24"/>
                <w:szCs w:val="24"/>
              </w:rPr>
            </w:pPr>
          </w:p>
        </w:tc>
      </w:tr>
      <w:tr w:rsidR="00124602" w14:paraId="445400C4" w14:textId="77777777" w:rsidTr="00124602">
        <w:tc>
          <w:tcPr>
            <w:tcW w:w="704" w:type="dxa"/>
            <w:shd w:val="clear" w:color="auto" w:fill="D9E2F3" w:themeFill="accent1" w:themeFillTint="33"/>
          </w:tcPr>
          <w:p w14:paraId="205CC1CA" w14:textId="65960646" w:rsidR="00124602" w:rsidRDefault="0012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218333E8" w14:textId="1B6E1E05" w:rsidR="00124602" w:rsidRDefault="0012460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Budgetary controls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416B16BC" w14:textId="77777777" w:rsidR="00124602" w:rsidRDefault="00124602">
            <w:pPr>
              <w:rPr>
                <w:sz w:val="24"/>
                <w:szCs w:val="24"/>
              </w:rPr>
            </w:pPr>
          </w:p>
        </w:tc>
      </w:tr>
      <w:tr w:rsidR="00124602" w14:paraId="46CA9FAE" w14:textId="77777777" w:rsidTr="00924F88">
        <w:tc>
          <w:tcPr>
            <w:tcW w:w="704" w:type="dxa"/>
            <w:shd w:val="clear" w:color="auto" w:fill="FFFFFF" w:themeFill="background1"/>
          </w:tcPr>
          <w:p w14:paraId="4B381FE9" w14:textId="4F20134C" w:rsidR="00124602" w:rsidRDefault="0012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812" w:type="dxa"/>
            <w:shd w:val="clear" w:color="auto" w:fill="FFFFFF" w:themeFill="background1"/>
          </w:tcPr>
          <w:p w14:paraId="432CF979" w14:textId="146C0411" w:rsidR="00124602" w:rsidRDefault="00D10E8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Has the Council prepared an annual budget in support of its precept</w:t>
            </w:r>
          </w:p>
        </w:tc>
        <w:tc>
          <w:tcPr>
            <w:tcW w:w="8788" w:type="dxa"/>
            <w:shd w:val="clear" w:color="auto" w:fill="FFFFFF" w:themeFill="background1"/>
          </w:tcPr>
          <w:p w14:paraId="2F6B69E7" w14:textId="6F85F57A" w:rsidR="00124602" w:rsidRDefault="00D1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annual budget is prepared in </w:t>
            </w:r>
            <w:r w:rsidR="00226594">
              <w:rPr>
                <w:sz w:val="24"/>
                <w:szCs w:val="24"/>
              </w:rPr>
              <w:t>November</w:t>
            </w:r>
            <w:r>
              <w:rPr>
                <w:sz w:val="24"/>
                <w:szCs w:val="24"/>
              </w:rPr>
              <w:t xml:space="preserve"> of each year for </w:t>
            </w:r>
            <w:r w:rsidR="00226594">
              <w:rPr>
                <w:sz w:val="24"/>
                <w:szCs w:val="24"/>
              </w:rPr>
              <w:t>discussion</w:t>
            </w:r>
            <w:r>
              <w:rPr>
                <w:sz w:val="24"/>
                <w:szCs w:val="24"/>
              </w:rPr>
              <w:t xml:space="preserve"> at the </w:t>
            </w:r>
            <w:r w:rsidR="00226594">
              <w:rPr>
                <w:sz w:val="24"/>
                <w:szCs w:val="24"/>
              </w:rPr>
              <w:t>informal December</w:t>
            </w:r>
            <w:r>
              <w:rPr>
                <w:sz w:val="24"/>
                <w:szCs w:val="24"/>
              </w:rPr>
              <w:t xml:space="preserve"> council meeting and ratified at Full Council in January, before the precept request is sent to the Borough Council.</w:t>
            </w:r>
          </w:p>
        </w:tc>
      </w:tr>
      <w:tr w:rsidR="00D10E8B" w14:paraId="179054B7" w14:textId="77777777" w:rsidTr="00924F88">
        <w:tc>
          <w:tcPr>
            <w:tcW w:w="704" w:type="dxa"/>
            <w:shd w:val="clear" w:color="auto" w:fill="FFFFFF" w:themeFill="background1"/>
          </w:tcPr>
          <w:p w14:paraId="1B3B3A9A" w14:textId="22B32A5B" w:rsidR="00D10E8B" w:rsidRDefault="00D1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812" w:type="dxa"/>
            <w:shd w:val="clear" w:color="auto" w:fill="FFFFFF" w:themeFill="background1"/>
          </w:tcPr>
          <w:p w14:paraId="4A43EDF3" w14:textId="62B30C31" w:rsidR="00D10E8B" w:rsidRDefault="00D10E8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Is expenditure against budget regularly reported to the council and </w:t>
            </w:r>
            <w:proofErr w:type="spellStart"/>
            <w:r>
              <w:rPr>
                <w:iCs/>
                <w:sz w:val="24"/>
                <w:szCs w:val="24"/>
              </w:rPr>
              <w:t>minuted</w:t>
            </w:r>
            <w:proofErr w:type="spellEnd"/>
          </w:p>
        </w:tc>
        <w:tc>
          <w:tcPr>
            <w:tcW w:w="8788" w:type="dxa"/>
            <w:shd w:val="clear" w:color="auto" w:fill="FFFFFF" w:themeFill="background1"/>
          </w:tcPr>
          <w:p w14:paraId="2B0C7279" w14:textId="0044DEF1" w:rsidR="00D10E8B" w:rsidRDefault="00D1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report of expenditure against budget is presented to Full Council is presented each month and </w:t>
            </w:r>
            <w:proofErr w:type="spellStart"/>
            <w:r>
              <w:rPr>
                <w:sz w:val="24"/>
                <w:szCs w:val="24"/>
              </w:rPr>
              <w:t>minuted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10E8B" w14:paraId="05D3C9C6" w14:textId="77777777" w:rsidTr="00924F88">
        <w:tc>
          <w:tcPr>
            <w:tcW w:w="704" w:type="dxa"/>
            <w:shd w:val="clear" w:color="auto" w:fill="FFFFFF" w:themeFill="background1"/>
          </w:tcPr>
          <w:p w14:paraId="0D5C5255" w14:textId="4A93ABAC" w:rsidR="00D10E8B" w:rsidRDefault="00D1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812" w:type="dxa"/>
            <w:shd w:val="clear" w:color="auto" w:fill="FFFFFF" w:themeFill="background1"/>
          </w:tcPr>
          <w:p w14:paraId="29CF4D3D" w14:textId="6CCDB484" w:rsidR="00D10E8B" w:rsidRDefault="00D10E8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Are there any significant and unexplained variances on budget</w:t>
            </w:r>
          </w:p>
        </w:tc>
        <w:tc>
          <w:tcPr>
            <w:tcW w:w="8788" w:type="dxa"/>
            <w:shd w:val="clear" w:color="auto" w:fill="FFFFFF" w:themeFill="background1"/>
          </w:tcPr>
          <w:p w14:paraId="10D2E625" w14:textId="75EEF511" w:rsidR="00D10E8B" w:rsidRDefault="00D1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RFO will explain any major variances, and recommend transfer between budget headings if appropriate</w:t>
            </w:r>
          </w:p>
        </w:tc>
      </w:tr>
      <w:tr w:rsidR="00D10E8B" w14:paraId="20329F04" w14:textId="77777777" w:rsidTr="0014275C">
        <w:tc>
          <w:tcPr>
            <w:tcW w:w="704" w:type="dxa"/>
            <w:shd w:val="clear" w:color="auto" w:fill="D9E2F3" w:themeFill="accent1" w:themeFillTint="33"/>
          </w:tcPr>
          <w:p w14:paraId="687723A5" w14:textId="04646524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3D9F66CE" w14:textId="524F463F" w:rsidR="00D10E8B" w:rsidRDefault="0014275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Income controls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2737BBF6" w14:textId="77777777" w:rsidR="00D10E8B" w:rsidRDefault="00D10E8B">
            <w:pPr>
              <w:rPr>
                <w:sz w:val="24"/>
                <w:szCs w:val="24"/>
              </w:rPr>
            </w:pPr>
          </w:p>
        </w:tc>
      </w:tr>
      <w:tr w:rsidR="0014275C" w14:paraId="2ACEB575" w14:textId="77777777" w:rsidTr="00924F88">
        <w:tc>
          <w:tcPr>
            <w:tcW w:w="704" w:type="dxa"/>
            <w:shd w:val="clear" w:color="auto" w:fill="FFFFFF" w:themeFill="background1"/>
          </w:tcPr>
          <w:p w14:paraId="60660547" w14:textId="4F59E6C9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812" w:type="dxa"/>
            <w:shd w:val="clear" w:color="auto" w:fill="FFFFFF" w:themeFill="background1"/>
          </w:tcPr>
          <w:p w14:paraId="2CD0D3FC" w14:textId="77777777" w:rsidR="0014275C" w:rsidRDefault="0014275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Is income properly recorded and promptly banked</w:t>
            </w:r>
          </w:p>
          <w:p w14:paraId="44E5639D" w14:textId="2E022E2A" w:rsidR="0014275C" w:rsidRDefault="0014275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Yearly review of scale of fees</w:t>
            </w:r>
          </w:p>
        </w:tc>
        <w:tc>
          <w:tcPr>
            <w:tcW w:w="8788" w:type="dxa"/>
            <w:shd w:val="clear" w:color="auto" w:fill="FFFFFF" w:themeFill="background1"/>
          </w:tcPr>
          <w:p w14:paraId="2F2B4A50" w14:textId="57C5744C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income is recorded and promptly banked. </w:t>
            </w:r>
            <w:r w:rsidR="00226594">
              <w:rPr>
                <w:sz w:val="24"/>
                <w:szCs w:val="24"/>
              </w:rPr>
              <w:t xml:space="preserve"> Fees for allotments, cemetery and hall hire are reviewed annually.</w:t>
            </w:r>
          </w:p>
        </w:tc>
      </w:tr>
      <w:tr w:rsidR="0014275C" w14:paraId="0BF2ED21" w14:textId="77777777" w:rsidTr="00924F88">
        <w:tc>
          <w:tcPr>
            <w:tcW w:w="704" w:type="dxa"/>
            <w:shd w:val="clear" w:color="auto" w:fill="FFFFFF" w:themeFill="background1"/>
          </w:tcPr>
          <w:p w14:paraId="4C2CDF2C" w14:textId="325DEB1D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812" w:type="dxa"/>
            <w:shd w:val="clear" w:color="auto" w:fill="FFFFFF" w:themeFill="background1"/>
          </w:tcPr>
          <w:p w14:paraId="707A6FBA" w14:textId="79F35F20" w:rsidR="0014275C" w:rsidRDefault="0014275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Does the precept recorded in the cashbook agree to the Borough Council’s notification</w:t>
            </w:r>
          </w:p>
        </w:tc>
        <w:tc>
          <w:tcPr>
            <w:tcW w:w="8788" w:type="dxa"/>
            <w:shd w:val="clear" w:color="auto" w:fill="FFFFFF" w:themeFill="background1"/>
          </w:tcPr>
          <w:p w14:paraId="241D1D1F" w14:textId="4C25D8E4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BC’s notification is held on file, the precept income noted in the cashbook.</w:t>
            </w:r>
          </w:p>
        </w:tc>
      </w:tr>
      <w:tr w:rsidR="0014275C" w14:paraId="4BB5B6B1" w14:textId="77777777" w:rsidTr="00924F88">
        <w:tc>
          <w:tcPr>
            <w:tcW w:w="704" w:type="dxa"/>
            <w:shd w:val="clear" w:color="auto" w:fill="FFFFFF" w:themeFill="background1"/>
          </w:tcPr>
          <w:p w14:paraId="645CCB8E" w14:textId="3CBF5630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812" w:type="dxa"/>
            <w:shd w:val="clear" w:color="auto" w:fill="FFFFFF" w:themeFill="background1"/>
          </w:tcPr>
          <w:p w14:paraId="56FA01D8" w14:textId="0E95C97E" w:rsidR="0014275C" w:rsidRDefault="0014275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Are security controls over cash adequate</w:t>
            </w:r>
          </w:p>
        </w:tc>
        <w:tc>
          <w:tcPr>
            <w:tcW w:w="8788" w:type="dxa"/>
            <w:shd w:val="clear" w:color="auto" w:fill="FFFFFF" w:themeFill="background1"/>
          </w:tcPr>
          <w:p w14:paraId="50258D97" w14:textId="29A1F279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Parish Council holds no cash.</w:t>
            </w:r>
          </w:p>
        </w:tc>
      </w:tr>
      <w:tr w:rsidR="0014275C" w14:paraId="78865353" w14:textId="77777777" w:rsidTr="0014275C">
        <w:tc>
          <w:tcPr>
            <w:tcW w:w="704" w:type="dxa"/>
            <w:shd w:val="clear" w:color="auto" w:fill="D9E2F3" w:themeFill="accent1" w:themeFillTint="33"/>
          </w:tcPr>
          <w:p w14:paraId="692F56E8" w14:textId="6FC27D53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5825E0D7" w14:textId="2EF01B64" w:rsidR="0014275C" w:rsidRDefault="0014275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Petty Cash procedures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402F7AC9" w14:textId="77777777" w:rsidR="0014275C" w:rsidRDefault="0014275C">
            <w:pPr>
              <w:rPr>
                <w:sz w:val="24"/>
                <w:szCs w:val="24"/>
              </w:rPr>
            </w:pPr>
          </w:p>
        </w:tc>
      </w:tr>
      <w:tr w:rsidR="0014275C" w14:paraId="7D468CC7" w14:textId="77777777" w:rsidTr="00924F88">
        <w:tc>
          <w:tcPr>
            <w:tcW w:w="704" w:type="dxa"/>
            <w:shd w:val="clear" w:color="auto" w:fill="FFFFFF" w:themeFill="background1"/>
          </w:tcPr>
          <w:p w14:paraId="64EC5CD0" w14:textId="0EB2C36F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812" w:type="dxa"/>
            <w:shd w:val="clear" w:color="auto" w:fill="FFFFFF" w:themeFill="background1"/>
          </w:tcPr>
          <w:p w14:paraId="5AB1778B" w14:textId="01F5A44E" w:rsidR="0014275C" w:rsidRDefault="0014275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Is petty cash spend recorded and reported</w:t>
            </w:r>
          </w:p>
        </w:tc>
        <w:tc>
          <w:tcPr>
            <w:tcW w:w="8788" w:type="dxa"/>
            <w:shd w:val="clear" w:color="auto" w:fill="FFFFFF" w:themeFill="background1"/>
          </w:tcPr>
          <w:p w14:paraId="6544037C" w14:textId="3D9120CB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Parish Council holds no petty cash.  All expenditure is reclaimed on production of production of receipts</w:t>
            </w:r>
          </w:p>
        </w:tc>
      </w:tr>
      <w:tr w:rsidR="0014275C" w14:paraId="22DC5692" w14:textId="77777777" w:rsidTr="0014275C">
        <w:tc>
          <w:tcPr>
            <w:tcW w:w="704" w:type="dxa"/>
            <w:shd w:val="clear" w:color="auto" w:fill="D9E2F3" w:themeFill="accent1" w:themeFillTint="33"/>
          </w:tcPr>
          <w:p w14:paraId="7509DB61" w14:textId="52786653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1632142C" w14:textId="1D20137C" w:rsidR="0014275C" w:rsidRDefault="0014275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Payroll controls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1A3CA03F" w14:textId="77777777" w:rsidR="0014275C" w:rsidRDefault="0014275C">
            <w:pPr>
              <w:rPr>
                <w:sz w:val="24"/>
                <w:szCs w:val="24"/>
              </w:rPr>
            </w:pPr>
          </w:p>
        </w:tc>
      </w:tr>
      <w:tr w:rsidR="0014275C" w14:paraId="5273D559" w14:textId="77777777" w:rsidTr="00924F88">
        <w:tc>
          <w:tcPr>
            <w:tcW w:w="704" w:type="dxa"/>
            <w:shd w:val="clear" w:color="auto" w:fill="FFFFFF" w:themeFill="background1"/>
          </w:tcPr>
          <w:p w14:paraId="41538591" w14:textId="5DCC71D2" w:rsidR="0014275C" w:rsidRDefault="0014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812" w:type="dxa"/>
            <w:shd w:val="clear" w:color="auto" w:fill="FFFFFF" w:themeFill="background1"/>
          </w:tcPr>
          <w:p w14:paraId="3C37EE0F" w14:textId="642F9D9C" w:rsidR="0014275C" w:rsidRDefault="0014275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Do staff salaries agr</w:t>
            </w:r>
            <w:r w:rsidR="00B74B76">
              <w:rPr>
                <w:iCs/>
                <w:sz w:val="24"/>
                <w:szCs w:val="24"/>
              </w:rPr>
              <w:t>ee with those approved by Council</w:t>
            </w:r>
          </w:p>
        </w:tc>
        <w:tc>
          <w:tcPr>
            <w:tcW w:w="8788" w:type="dxa"/>
            <w:shd w:val="clear" w:color="auto" w:fill="FFFFFF" w:themeFill="background1"/>
          </w:tcPr>
          <w:p w14:paraId="48B492E2" w14:textId="189366FA" w:rsidR="0014275C" w:rsidRDefault="00B7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salaries are agreed and </w:t>
            </w:r>
            <w:proofErr w:type="spellStart"/>
            <w:r>
              <w:rPr>
                <w:sz w:val="24"/>
                <w:szCs w:val="24"/>
              </w:rPr>
              <w:t>minuted</w:t>
            </w:r>
            <w:proofErr w:type="spellEnd"/>
            <w:r>
              <w:rPr>
                <w:sz w:val="24"/>
                <w:szCs w:val="24"/>
              </w:rPr>
              <w:t>.  Currently the Council employs a Clerk.</w:t>
            </w:r>
          </w:p>
        </w:tc>
      </w:tr>
      <w:tr w:rsidR="00B74B76" w14:paraId="03C6DC07" w14:textId="77777777" w:rsidTr="00924F88">
        <w:tc>
          <w:tcPr>
            <w:tcW w:w="704" w:type="dxa"/>
            <w:shd w:val="clear" w:color="auto" w:fill="FFFFFF" w:themeFill="background1"/>
          </w:tcPr>
          <w:p w14:paraId="25A8A0DB" w14:textId="4C52D723" w:rsidR="00B74B76" w:rsidRDefault="00B7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5812" w:type="dxa"/>
            <w:shd w:val="clear" w:color="auto" w:fill="FFFFFF" w:themeFill="background1"/>
          </w:tcPr>
          <w:p w14:paraId="512FAD33" w14:textId="1EA69ADC" w:rsidR="00B74B76" w:rsidRDefault="00B74B7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Are other payments to the Clerk reasonable and approved by the Council</w:t>
            </w:r>
          </w:p>
        </w:tc>
        <w:tc>
          <w:tcPr>
            <w:tcW w:w="8788" w:type="dxa"/>
            <w:shd w:val="clear" w:color="auto" w:fill="FFFFFF" w:themeFill="background1"/>
          </w:tcPr>
          <w:p w14:paraId="2D146DD9" w14:textId="595AA7C1" w:rsidR="00B74B76" w:rsidRDefault="00B7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Clerk’s expenses for items purchased for the Council are </w:t>
            </w:r>
            <w:proofErr w:type="spellStart"/>
            <w:r>
              <w:rPr>
                <w:sz w:val="24"/>
                <w:szCs w:val="24"/>
              </w:rPr>
              <w:t>minuted</w:t>
            </w:r>
            <w:proofErr w:type="spellEnd"/>
            <w:r>
              <w:rPr>
                <w:sz w:val="24"/>
                <w:szCs w:val="24"/>
              </w:rPr>
              <w:t xml:space="preserve"> and approved.</w:t>
            </w:r>
          </w:p>
        </w:tc>
      </w:tr>
      <w:tr w:rsidR="00B74B76" w14:paraId="5A1F682B" w14:textId="77777777" w:rsidTr="00924F88">
        <w:tc>
          <w:tcPr>
            <w:tcW w:w="704" w:type="dxa"/>
            <w:shd w:val="clear" w:color="auto" w:fill="FFFFFF" w:themeFill="background1"/>
          </w:tcPr>
          <w:p w14:paraId="6774EFFF" w14:textId="2E735FE0" w:rsidR="00B74B76" w:rsidRDefault="00B7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812" w:type="dxa"/>
            <w:shd w:val="clear" w:color="auto" w:fill="FFFFFF" w:themeFill="background1"/>
          </w:tcPr>
          <w:p w14:paraId="0C27EF78" w14:textId="5ABB87C9" w:rsidR="00B74B76" w:rsidRDefault="00B74B7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Has PAYE/NIC been properly operated by the Council as an employer</w:t>
            </w:r>
          </w:p>
        </w:tc>
        <w:tc>
          <w:tcPr>
            <w:tcW w:w="8788" w:type="dxa"/>
            <w:shd w:val="clear" w:color="auto" w:fill="FFFFFF" w:themeFill="background1"/>
          </w:tcPr>
          <w:p w14:paraId="731A7C4C" w14:textId="72C43621" w:rsidR="00B74B76" w:rsidRDefault="00B7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Council uses </w:t>
            </w:r>
            <w:r w:rsidR="00DC5D86">
              <w:rPr>
                <w:sz w:val="24"/>
                <w:szCs w:val="24"/>
              </w:rPr>
              <w:t>HMRC payroll tools</w:t>
            </w:r>
            <w:r>
              <w:rPr>
                <w:sz w:val="24"/>
                <w:szCs w:val="24"/>
              </w:rPr>
              <w:t xml:space="preserve"> to operate PAYE/NIC, receives payslips itemising payments due and makes the appropriate payments to the Clerk and HMRC</w:t>
            </w:r>
          </w:p>
        </w:tc>
      </w:tr>
      <w:tr w:rsidR="00B74B76" w14:paraId="0F058A1A" w14:textId="77777777" w:rsidTr="007D39ED">
        <w:tc>
          <w:tcPr>
            <w:tcW w:w="704" w:type="dxa"/>
            <w:shd w:val="clear" w:color="auto" w:fill="D9E2F3" w:themeFill="accent1" w:themeFillTint="33"/>
          </w:tcPr>
          <w:p w14:paraId="4CF21D1D" w14:textId="7D46A109" w:rsidR="00B74B76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7F53CE07" w14:textId="59A44EE1" w:rsidR="00B74B76" w:rsidRDefault="007D39E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Assets controls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4D13E358" w14:textId="77777777" w:rsidR="00B74B76" w:rsidRDefault="00B74B76">
            <w:pPr>
              <w:rPr>
                <w:sz w:val="24"/>
                <w:szCs w:val="24"/>
              </w:rPr>
            </w:pPr>
          </w:p>
        </w:tc>
      </w:tr>
      <w:tr w:rsidR="007D39ED" w14:paraId="2C9466A0" w14:textId="77777777" w:rsidTr="00924F88">
        <w:tc>
          <w:tcPr>
            <w:tcW w:w="704" w:type="dxa"/>
            <w:shd w:val="clear" w:color="auto" w:fill="FFFFFF" w:themeFill="background1"/>
          </w:tcPr>
          <w:p w14:paraId="4B1D42B5" w14:textId="603C12CB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5812" w:type="dxa"/>
            <w:shd w:val="clear" w:color="auto" w:fill="FFFFFF" w:themeFill="background1"/>
          </w:tcPr>
          <w:p w14:paraId="3C94F6BE" w14:textId="4E02A9E9" w:rsidR="007D39ED" w:rsidRDefault="007D39E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Does the Council keep an asset register of all assets owned and their value</w:t>
            </w:r>
          </w:p>
        </w:tc>
        <w:tc>
          <w:tcPr>
            <w:tcW w:w="8788" w:type="dxa"/>
            <w:shd w:val="clear" w:color="auto" w:fill="FFFFFF" w:themeFill="background1"/>
          </w:tcPr>
          <w:p w14:paraId="39CA9A76" w14:textId="0507C559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full asset register is maintained showing location, cost, date bought, date disposed of.</w:t>
            </w:r>
          </w:p>
        </w:tc>
      </w:tr>
      <w:tr w:rsidR="007D39ED" w14:paraId="4E1DDB79" w14:textId="77777777" w:rsidTr="00924F88">
        <w:tc>
          <w:tcPr>
            <w:tcW w:w="704" w:type="dxa"/>
            <w:shd w:val="clear" w:color="auto" w:fill="FFFFFF" w:themeFill="background1"/>
          </w:tcPr>
          <w:p w14:paraId="683739D9" w14:textId="5031552A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5812" w:type="dxa"/>
            <w:shd w:val="clear" w:color="auto" w:fill="FFFFFF" w:themeFill="background1"/>
          </w:tcPr>
          <w:p w14:paraId="29B31CE4" w14:textId="7C1915C1" w:rsidR="007D39ED" w:rsidRDefault="007D39E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Is the asset register up to date</w:t>
            </w:r>
          </w:p>
        </w:tc>
        <w:tc>
          <w:tcPr>
            <w:tcW w:w="8788" w:type="dxa"/>
            <w:shd w:val="clear" w:color="auto" w:fill="FFFFFF" w:themeFill="background1"/>
          </w:tcPr>
          <w:p w14:paraId="57680F3F" w14:textId="66FDA720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reviewed on an annual basis</w:t>
            </w:r>
          </w:p>
        </w:tc>
      </w:tr>
      <w:tr w:rsidR="007D39ED" w14:paraId="53422EBE" w14:textId="77777777" w:rsidTr="00924F88">
        <w:tc>
          <w:tcPr>
            <w:tcW w:w="704" w:type="dxa"/>
            <w:shd w:val="clear" w:color="auto" w:fill="FFFFFF" w:themeFill="background1"/>
          </w:tcPr>
          <w:p w14:paraId="5D044934" w14:textId="1F4B4181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5812" w:type="dxa"/>
            <w:shd w:val="clear" w:color="auto" w:fill="FFFFFF" w:themeFill="background1"/>
          </w:tcPr>
          <w:p w14:paraId="0879430F" w14:textId="3C539815" w:rsidR="007D39ED" w:rsidRDefault="007D39E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Do asset insurance valuations agree with those in the asset register</w:t>
            </w:r>
          </w:p>
        </w:tc>
        <w:tc>
          <w:tcPr>
            <w:tcW w:w="8788" w:type="dxa"/>
            <w:shd w:val="clear" w:color="auto" w:fill="FFFFFF" w:themeFill="background1"/>
          </w:tcPr>
          <w:p w14:paraId="2F0E50E5" w14:textId="5567D478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register is compared with the insurance inventory on an annual basis</w:t>
            </w:r>
          </w:p>
        </w:tc>
      </w:tr>
      <w:tr w:rsidR="007D39ED" w14:paraId="30B7F564" w14:textId="77777777" w:rsidTr="007D39ED">
        <w:tc>
          <w:tcPr>
            <w:tcW w:w="704" w:type="dxa"/>
            <w:shd w:val="clear" w:color="auto" w:fill="D9E2F3" w:themeFill="accent1" w:themeFillTint="33"/>
          </w:tcPr>
          <w:p w14:paraId="5191EE1B" w14:textId="70C5E3FB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66686CA8" w14:textId="7EA1B272" w:rsidR="007D39ED" w:rsidRDefault="007D39E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Bank reconciliation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4F1D439E" w14:textId="77777777" w:rsidR="007D39ED" w:rsidRDefault="007D39ED">
            <w:pPr>
              <w:rPr>
                <w:sz w:val="24"/>
                <w:szCs w:val="24"/>
              </w:rPr>
            </w:pPr>
          </w:p>
        </w:tc>
      </w:tr>
      <w:tr w:rsidR="007D39ED" w14:paraId="641D5A3E" w14:textId="77777777" w:rsidTr="00924F88">
        <w:tc>
          <w:tcPr>
            <w:tcW w:w="704" w:type="dxa"/>
            <w:shd w:val="clear" w:color="auto" w:fill="FFFFFF" w:themeFill="background1"/>
          </w:tcPr>
          <w:p w14:paraId="1878C9D9" w14:textId="19A99402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5812" w:type="dxa"/>
            <w:shd w:val="clear" w:color="auto" w:fill="FFFFFF" w:themeFill="background1"/>
          </w:tcPr>
          <w:p w14:paraId="6CE43F2E" w14:textId="0E360E2B" w:rsidR="007D39ED" w:rsidRDefault="007D39E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Is there a bank reconciliation for each account held</w:t>
            </w:r>
          </w:p>
        </w:tc>
        <w:tc>
          <w:tcPr>
            <w:tcW w:w="8788" w:type="dxa"/>
            <w:shd w:val="clear" w:color="auto" w:fill="FFFFFF" w:themeFill="background1"/>
          </w:tcPr>
          <w:p w14:paraId="0B58AE24" w14:textId="0DB5BBF5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carried out each month by the RFO</w:t>
            </w:r>
          </w:p>
        </w:tc>
      </w:tr>
      <w:tr w:rsidR="007D39ED" w14:paraId="6E1A9AE9" w14:textId="77777777" w:rsidTr="00924F88">
        <w:tc>
          <w:tcPr>
            <w:tcW w:w="704" w:type="dxa"/>
            <w:shd w:val="clear" w:color="auto" w:fill="FFFFFF" w:themeFill="background1"/>
          </w:tcPr>
          <w:p w14:paraId="60E45515" w14:textId="3A418AD3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5812" w:type="dxa"/>
            <w:shd w:val="clear" w:color="auto" w:fill="FFFFFF" w:themeFill="background1"/>
          </w:tcPr>
          <w:p w14:paraId="32A0EB8F" w14:textId="702C160A" w:rsidR="007D39ED" w:rsidRDefault="007D39E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Are bank reconciliations conducted on receipt of statements</w:t>
            </w:r>
          </w:p>
        </w:tc>
        <w:tc>
          <w:tcPr>
            <w:tcW w:w="8788" w:type="dxa"/>
            <w:shd w:val="clear" w:color="auto" w:fill="FFFFFF" w:themeFill="background1"/>
          </w:tcPr>
          <w:p w14:paraId="62799A20" w14:textId="2FD85616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are conducted on a monthly basis</w:t>
            </w:r>
          </w:p>
        </w:tc>
      </w:tr>
      <w:tr w:rsidR="007D39ED" w14:paraId="22DB1192" w14:textId="77777777" w:rsidTr="00924F88">
        <w:tc>
          <w:tcPr>
            <w:tcW w:w="704" w:type="dxa"/>
            <w:shd w:val="clear" w:color="auto" w:fill="FFFFFF" w:themeFill="background1"/>
          </w:tcPr>
          <w:p w14:paraId="4F26544A" w14:textId="329248AD" w:rsidR="007D39ED" w:rsidRDefault="007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9.3</w:t>
            </w:r>
          </w:p>
        </w:tc>
        <w:tc>
          <w:tcPr>
            <w:tcW w:w="5812" w:type="dxa"/>
            <w:shd w:val="clear" w:color="auto" w:fill="FFFFFF" w:themeFill="background1"/>
          </w:tcPr>
          <w:p w14:paraId="0C7C7E04" w14:textId="628469D2" w:rsidR="007D39ED" w:rsidRDefault="00311CC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Are there any unexplained balancing entries in any reconciliation</w:t>
            </w:r>
          </w:p>
        </w:tc>
        <w:tc>
          <w:tcPr>
            <w:tcW w:w="8788" w:type="dxa"/>
            <w:shd w:val="clear" w:color="auto" w:fill="FFFFFF" w:themeFill="background1"/>
          </w:tcPr>
          <w:p w14:paraId="1EFB1ED8" w14:textId="04C11166" w:rsidR="007D39ED" w:rsidRDefault="00311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311CCA" w14:paraId="2B7F4EF1" w14:textId="77777777" w:rsidTr="00311CCA">
        <w:tc>
          <w:tcPr>
            <w:tcW w:w="704" w:type="dxa"/>
            <w:shd w:val="clear" w:color="auto" w:fill="D9E2F3" w:themeFill="accent1" w:themeFillTint="33"/>
          </w:tcPr>
          <w:p w14:paraId="0235B38E" w14:textId="14CC5601" w:rsidR="00311CCA" w:rsidRDefault="00311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61360475" w14:textId="7C927856" w:rsidR="00311CCA" w:rsidRDefault="00311CC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Year End Procedures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7055ED58" w14:textId="77777777" w:rsidR="00311CCA" w:rsidRDefault="00311CCA">
            <w:pPr>
              <w:rPr>
                <w:sz w:val="24"/>
                <w:szCs w:val="24"/>
              </w:rPr>
            </w:pPr>
          </w:p>
        </w:tc>
      </w:tr>
      <w:tr w:rsidR="00311CCA" w14:paraId="67167FBE" w14:textId="77777777" w:rsidTr="00924F88">
        <w:tc>
          <w:tcPr>
            <w:tcW w:w="704" w:type="dxa"/>
            <w:shd w:val="clear" w:color="auto" w:fill="FFFFFF" w:themeFill="background1"/>
          </w:tcPr>
          <w:p w14:paraId="3099BD46" w14:textId="0CBEBAC4" w:rsidR="00311CCA" w:rsidRDefault="00311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5812" w:type="dxa"/>
            <w:shd w:val="clear" w:color="auto" w:fill="FFFFFF" w:themeFill="background1"/>
          </w:tcPr>
          <w:p w14:paraId="14FEEEAA" w14:textId="2015559C" w:rsidR="00311CCA" w:rsidRDefault="000632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Are </w:t>
            </w:r>
            <w:proofErr w:type="spellStart"/>
            <w:r>
              <w:rPr>
                <w:iCs/>
                <w:sz w:val="24"/>
                <w:szCs w:val="24"/>
              </w:rPr>
              <w:t>year end</w:t>
            </w:r>
            <w:proofErr w:type="spellEnd"/>
            <w:r>
              <w:rPr>
                <w:iCs/>
                <w:sz w:val="24"/>
                <w:szCs w:val="24"/>
              </w:rPr>
              <w:t xml:space="preserve"> accounts produced on receipts and payments or income and expenditure basis</w:t>
            </w:r>
          </w:p>
        </w:tc>
        <w:tc>
          <w:tcPr>
            <w:tcW w:w="8788" w:type="dxa"/>
            <w:shd w:val="clear" w:color="auto" w:fill="FFFFFF" w:themeFill="background1"/>
          </w:tcPr>
          <w:p w14:paraId="1316A722" w14:textId="7590FB3E" w:rsidR="00311CCA" w:rsidRDefault="0006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and expenditure basis</w:t>
            </w:r>
          </w:p>
        </w:tc>
      </w:tr>
      <w:tr w:rsidR="000632B0" w14:paraId="49972CF4" w14:textId="77777777" w:rsidTr="00924F88">
        <w:tc>
          <w:tcPr>
            <w:tcW w:w="704" w:type="dxa"/>
            <w:shd w:val="clear" w:color="auto" w:fill="FFFFFF" w:themeFill="background1"/>
          </w:tcPr>
          <w:p w14:paraId="6D88AA53" w14:textId="442D19AE" w:rsidR="000632B0" w:rsidRDefault="0006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5812" w:type="dxa"/>
            <w:shd w:val="clear" w:color="auto" w:fill="FFFFFF" w:themeFill="background1"/>
          </w:tcPr>
          <w:p w14:paraId="2EFB1E0D" w14:textId="3C5FB305" w:rsidR="000632B0" w:rsidRDefault="000632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Do accounts agree with the cashbook </w:t>
            </w:r>
            <w:proofErr w:type="spellStart"/>
            <w:r>
              <w:rPr>
                <w:iCs/>
                <w:sz w:val="24"/>
                <w:szCs w:val="24"/>
              </w:rPr>
              <w:t>codings</w:t>
            </w:r>
            <w:proofErr w:type="spellEnd"/>
          </w:p>
        </w:tc>
        <w:tc>
          <w:tcPr>
            <w:tcW w:w="8788" w:type="dxa"/>
            <w:shd w:val="clear" w:color="auto" w:fill="FFFFFF" w:themeFill="background1"/>
          </w:tcPr>
          <w:p w14:paraId="72BCA1C6" w14:textId="2DD3EC42" w:rsidR="000632B0" w:rsidRDefault="0006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final accounts agree with the analysed cashbook and trial balance</w:t>
            </w:r>
          </w:p>
        </w:tc>
      </w:tr>
      <w:tr w:rsidR="000632B0" w14:paraId="3DE88014" w14:textId="77777777" w:rsidTr="00924F88">
        <w:tc>
          <w:tcPr>
            <w:tcW w:w="704" w:type="dxa"/>
            <w:shd w:val="clear" w:color="auto" w:fill="FFFFFF" w:themeFill="background1"/>
          </w:tcPr>
          <w:p w14:paraId="71CC842E" w14:textId="63870CC7" w:rsidR="000632B0" w:rsidRDefault="0006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5812" w:type="dxa"/>
            <w:shd w:val="clear" w:color="auto" w:fill="FFFFFF" w:themeFill="background1"/>
          </w:tcPr>
          <w:p w14:paraId="4DF7DBD6" w14:textId="03A07598" w:rsidR="000632B0" w:rsidRDefault="000632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Is there an audit trail from underlying and financial records to the accounts</w:t>
            </w:r>
          </w:p>
        </w:tc>
        <w:tc>
          <w:tcPr>
            <w:tcW w:w="8788" w:type="dxa"/>
            <w:shd w:val="clear" w:color="auto" w:fill="FFFFFF" w:themeFill="background1"/>
          </w:tcPr>
          <w:p w14:paraId="38B975C9" w14:textId="14DF794D" w:rsidR="000632B0" w:rsidRDefault="0006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full trial balance is agreed at year end, together with the full list of </w:t>
            </w:r>
            <w:proofErr w:type="spellStart"/>
            <w:r>
              <w:rPr>
                <w:sz w:val="24"/>
                <w:szCs w:val="24"/>
              </w:rPr>
              <w:t>codings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632B0" w14:paraId="370851C7" w14:textId="77777777" w:rsidTr="00924F88">
        <w:tc>
          <w:tcPr>
            <w:tcW w:w="704" w:type="dxa"/>
            <w:shd w:val="clear" w:color="auto" w:fill="FFFFFF" w:themeFill="background1"/>
          </w:tcPr>
          <w:p w14:paraId="736B2011" w14:textId="00FB0FC7" w:rsidR="000632B0" w:rsidRDefault="0006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5812" w:type="dxa"/>
            <w:shd w:val="clear" w:color="auto" w:fill="FFFFFF" w:themeFill="background1"/>
          </w:tcPr>
          <w:p w14:paraId="6FBA111A" w14:textId="3011D4ED" w:rsidR="000632B0" w:rsidRDefault="000632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Are debtors and creditors properly recorded.  Are </w:t>
            </w:r>
            <w:proofErr w:type="spellStart"/>
            <w:r>
              <w:rPr>
                <w:iCs/>
                <w:sz w:val="24"/>
                <w:szCs w:val="24"/>
              </w:rPr>
              <w:t>year end</w:t>
            </w:r>
            <w:proofErr w:type="spellEnd"/>
            <w:r>
              <w:rPr>
                <w:iCs/>
                <w:sz w:val="24"/>
                <w:szCs w:val="24"/>
              </w:rPr>
              <w:t xml:space="preserve"> general and earmarked reserves held at reasonable levels</w:t>
            </w:r>
          </w:p>
        </w:tc>
        <w:tc>
          <w:tcPr>
            <w:tcW w:w="8788" w:type="dxa"/>
            <w:shd w:val="clear" w:color="auto" w:fill="FFFFFF" w:themeFill="background1"/>
          </w:tcPr>
          <w:p w14:paraId="1B717E10" w14:textId="77777777" w:rsidR="000632B0" w:rsidRDefault="0006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summary of debtors and creditors is prepared with the trial balance figures.  </w:t>
            </w:r>
          </w:p>
          <w:p w14:paraId="502F060F" w14:textId="4452B076" w:rsidR="000632B0" w:rsidRDefault="0006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reserves are documented and managed.</w:t>
            </w:r>
          </w:p>
        </w:tc>
      </w:tr>
      <w:tr w:rsidR="000632B0" w14:paraId="20CE5E18" w14:textId="77777777" w:rsidTr="000632B0">
        <w:tc>
          <w:tcPr>
            <w:tcW w:w="704" w:type="dxa"/>
            <w:shd w:val="clear" w:color="auto" w:fill="D9E2F3" w:themeFill="accent1" w:themeFillTint="33"/>
          </w:tcPr>
          <w:p w14:paraId="2A59534A" w14:textId="1C4547DD" w:rsidR="000632B0" w:rsidRDefault="0006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3FDD0CC8" w14:textId="3EC5C2B8" w:rsidR="000632B0" w:rsidRDefault="000632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Review 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1E4038C3" w14:textId="77777777" w:rsidR="000632B0" w:rsidRDefault="000632B0">
            <w:pPr>
              <w:rPr>
                <w:sz w:val="24"/>
                <w:szCs w:val="24"/>
              </w:rPr>
            </w:pPr>
          </w:p>
        </w:tc>
      </w:tr>
      <w:tr w:rsidR="000632B0" w14:paraId="061201A5" w14:textId="77777777" w:rsidTr="00924F88">
        <w:tc>
          <w:tcPr>
            <w:tcW w:w="704" w:type="dxa"/>
            <w:shd w:val="clear" w:color="auto" w:fill="FFFFFF" w:themeFill="background1"/>
          </w:tcPr>
          <w:p w14:paraId="3CC684C2" w14:textId="410DEF2A" w:rsidR="000632B0" w:rsidRDefault="0006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12" w:type="dxa"/>
            <w:shd w:val="clear" w:color="auto" w:fill="FFFFFF" w:themeFill="background1"/>
          </w:tcPr>
          <w:p w14:paraId="26DFD959" w14:textId="3D4F7BC6" w:rsidR="000632B0" w:rsidRDefault="000632B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Is there an established process for the review of this document</w:t>
            </w:r>
          </w:p>
        </w:tc>
        <w:tc>
          <w:tcPr>
            <w:tcW w:w="8788" w:type="dxa"/>
            <w:shd w:val="clear" w:color="auto" w:fill="FFFFFF" w:themeFill="background1"/>
          </w:tcPr>
          <w:p w14:paraId="74A2011F" w14:textId="73F0CF7C" w:rsidR="000632B0" w:rsidRDefault="0006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financial risk assessment </w:t>
            </w:r>
            <w:r w:rsidR="00582ED9">
              <w:rPr>
                <w:sz w:val="24"/>
                <w:szCs w:val="24"/>
              </w:rPr>
              <w:t>is reviewed on an annual basis, at the Annual Council Meeting.</w:t>
            </w:r>
          </w:p>
        </w:tc>
      </w:tr>
    </w:tbl>
    <w:p w14:paraId="306A82BB" w14:textId="01261DBF" w:rsidR="00071FB8" w:rsidRPr="00071FB8" w:rsidRDefault="00071FB8">
      <w:pPr>
        <w:rPr>
          <w:sz w:val="24"/>
          <w:szCs w:val="24"/>
        </w:rPr>
      </w:pPr>
    </w:p>
    <w:p w14:paraId="2E4FEBC0" w14:textId="77777777" w:rsidR="00071FB8" w:rsidRPr="00071FB8" w:rsidRDefault="00071FB8">
      <w:pPr>
        <w:rPr>
          <w:b/>
          <w:bCs/>
          <w:sz w:val="28"/>
          <w:szCs w:val="28"/>
        </w:rPr>
      </w:pPr>
    </w:p>
    <w:sectPr w:rsidR="00071FB8" w:rsidRPr="00071FB8" w:rsidSect="00B52A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B8"/>
    <w:rsid w:val="000632B0"/>
    <w:rsid w:val="00071FB8"/>
    <w:rsid w:val="00090CF1"/>
    <w:rsid w:val="00124602"/>
    <w:rsid w:val="0014275C"/>
    <w:rsid w:val="00226594"/>
    <w:rsid w:val="00311CCA"/>
    <w:rsid w:val="00372ADD"/>
    <w:rsid w:val="00582ED9"/>
    <w:rsid w:val="005960E8"/>
    <w:rsid w:val="006F2AC9"/>
    <w:rsid w:val="007D39ED"/>
    <w:rsid w:val="007F545D"/>
    <w:rsid w:val="00924F88"/>
    <w:rsid w:val="009C2A4E"/>
    <w:rsid w:val="00B52AA2"/>
    <w:rsid w:val="00B74B76"/>
    <w:rsid w:val="00D10E8B"/>
    <w:rsid w:val="00D60B05"/>
    <w:rsid w:val="00DC5D86"/>
    <w:rsid w:val="00E2241D"/>
    <w:rsid w:val="00EC1152"/>
    <w:rsid w:val="00F9514D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84D7"/>
  <w15:chartTrackingRefBased/>
  <w15:docId w15:val="{FD30A00F-ECCF-4E4A-B706-1DF4B96C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Cadman</dc:creator>
  <cp:keywords/>
  <dc:description/>
  <cp:lastModifiedBy>Anita Kettle</cp:lastModifiedBy>
  <cp:revision>2</cp:revision>
  <dcterms:created xsi:type="dcterms:W3CDTF">2025-05-14T17:00:00Z</dcterms:created>
  <dcterms:modified xsi:type="dcterms:W3CDTF">2025-05-14T17:00:00Z</dcterms:modified>
</cp:coreProperties>
</file>